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ind w:left="0" w:right="0" w:hanging="0"/>
        <w:jc w:val="center"/>
        <w:rPr>
          <w:rFonts w:ascii="Times New Roman" w:hAnsi="Times New Roman"/>
          <w:b/>
          <w:b/>
          <w:bCs/>
          <w:sz w:val="28"/>
          <w:szCs w:val="28"/>
          <w:shd w:fill="auto" w:val="clear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shd w:fill="auto" w:val="clear"/>
          <w:lang w:val="ru-RU"/>
        </w:rPr>
        <w:t>Описание РППС логопедического кабинета</w:t>
      </w:r>
    </w:p>
    <w:p>
      <w:pPr>
        <w:pStyle w:val="Normal"/>
        <w:bidi w:val="0"/>
        <w:ind w:left="0" w:right="0" w:firstLine="397"/>
        <w:jc w:val="both"/>
        <w:rPr>
          <w:rFonts w:ascii="Times New Roman" w:hAnsi="Times New Roman"/>
          <w:shd w:fill="auto" w:val="clear"/>
        </w:rPr>
      </w:pPr>
      <w:r>
        <w:rPr>
          <w:rFonts w:ascii="Times New Roman" w:hAnsi="Times New Roman"/>
          <w:shd w:fill="auto" w:val="clear"/>
        </w:rPr>
      </w:r>
    </w:p>
    <w:p>
      <w:pPr>
        <w:pStyle w:val="Normal"/>
        <w:bidi w:val="0"/>
        <w:ind w:left="0" w:right="0" w:firstLine="397"/>
        <w:jc w:val="both"/>
        <w:rPr>
          <w:rFonts w:ascii="Times New Roman" w:hAnsi="Times New Roman"/>
          <w:shd w:fill="auto" w:val="clear"/>
        </w:rPr>
      </w:pPr>
      <w:r>
        <w:rPr>
          <w:rFonts w:ascii="Times New Roman" w:hAnsi="Times New Roman"/>
          <w:shd w:fill="auto" w:val="clear"/>
        </w:rPr>
        <w:t>Речевое развитие – важнейшее условие полноценного развития детей. Для коррекции речевых недостатков, обогащения и совершенствования речи необходимо создать благоприятную речевую среду, которая бы служила интересам, потребностям и развитию детей.</w:t>
      </w:r>
    </w:p>
    <w:p>
      <w:pPr>
        <w:pStyle w:val="Normal"/>
        <w:bidi w:val="0"/>
        <w:ind w:left="0" w:right="0" w:firstLine="39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Ведущее место в системе дошкольного образования отводится реализации речевых задач. Современные исследования в этой области свидетельствуют о том, что большинство детей к концу дошкольного возраста не владеют навыками связной речи. Их словарный запас небогат. Учитывая, что ведущей деятельностью детей дошкольного возраста является игра, в организации логопедической работы необходимо стремиться к тому, чтобы каждое занятие носило игровой характер, было эмоционально окрашено. В связи с этим логопедическая работа будет более эффективна, если в ходе обучения будут использованы: приёмы, способствующие развитию мотивации, игровые приёмы,  сюрпризные моменты, наглядные средства, схемы, модели и другое.</w:t>
      </w:r>
    </w:p>
    <w:p>
      <w:pPr>
        <w:pStyle w:val="Normal"/>
        <w:bidi w:val="0"/>
        <w:ind w:left="0" w:right="0" w:firstLine="397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Основные направления кабинета:</w:t>
      </w:r>
    </w:p>
    <w:p>
      <w:pPr>
        <w:pStyle w:val="Normal"/>
        <w:bidi w:val="0"/>
        <w:ind w:left="0" w:right="0" w:firstLine="397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1</w:t>
      </w:r>
      <w:r>
        <w:rPr>
          <w:rFonts w:ascii="Times New Roman" w:hAnsi="Times New Roman"/>
        </w:rPr>
        <w:t>. Создание коррекционно-развивающей среды и благоприятного психологического климата для обеспечения помощи детям по исправлению или ослаблению имеющихся нарушений;</w:t>
      </w:r>
    </w:p>
    <w:p>
      <w:pPr>
        <w:pStyle w:val="Normal"/>
        <w:bidi w:val="0"/>
        <w:ind w:left="0" w:right="0" w:firstLine="397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2</w:t>
      </w:r>
      <w:r>
        <w:rPr>
          <w:rFonts w:ascii="Times New Roman" w:hAnsi="Times New Roman"/>
        </w:rPr>
        <w:t>. Проведение обследования детей с целью разработки индивидуальной программы развития;</w:t>
      </w:r>
    </w:p>
    <w:p>
      <w:pPr>
        <w:pStyle w:val="Normal"/>
        <w:bidi w:val="0"/>
        <w:ind w:left="0" w:right="0" w:firstLine="397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3</w:t>
      </w:r>
      <w:r>
        <w:rPr>
          <w:rFonts w:ascii="Times New Roman" w:hAnsi="Times New Roman"/>
        </w:rPr>
        <w:t>. Проведение подгрупповых и индивидуальных коррекционных занятий;</w:t>
      </w:r>
    </w:p>
    <w:p>
      <w:pPr>
        <w:pStyle w:val="Normal"/>
        <w:bidi w:val="0"/>
        <w:ind w:left="0" w:right="0" w:firstLine="397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4</w:t>
      </w:r>
      <w:r>
        <w:rPr>
          <w:rFonts w:ascii="Times New Roman" w:hAnsi="Times New Roman"/>
        </w:rPr>
        <w:t>. Оказание консультативной помощи педагогам, родителям;</w:t>
      </w:r>
    </w:p>
    <w:p>
      <w:pPr>
        <w:pStyle w:val="Normal"/>
        <w:bidi w:val="0"/>
        <w:ind w:left="0" w:right="0" w:firstLine="397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По целенаправленному оснащению и применению кабинет разделён на несколько рабочих центров:</w:t>
      </w:r>
    </w:p>
    <w:p>
      <w:pPr>
        <w:pStyle w:val="Normal"/>
        <w:bidi w:val="0"/>
        <w:ind w:left="0" w:right="0" w:firstLine="397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1. Центр коррекции звукопроизношения</w:t>
      </w:r>
      <w:r>
        <w:rPr>
          <w:rFonts w:ascii="Times New Roman" w:hAnsi="Times New Roman"/>
        </w:rPr>
        <w:t>, в котором  находится:</w:t>
      </w:r>
    </w:p>
    <w:p>
      <w:pPr>
        <w:pStyle w:val="Normal"/>
        <w:bidi w:val="0"/>
        <w:spacing w:before="0" w:after="283"/>
        <w:ind w:left="0" w:right="0" w:firstLine="397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Цель</w:t>
      </w:r>
      <w:r>
        <w:rPr>
          <w:rFonts w:ascii="Times New Roman" w:hAnsi="Times New Roman"/>
        </w:rPr>
        <w:t>: развитие артикуляционной моторики, коррекции звукопроизношения.</w:t>
      </w:r>
    </w:p>
    <w:p>
      <w:pPr>
        <w:pStyle w:val="Style17"/>
        <w:numPr>
          <w:ilvl w:val="0"/>
          <w:numId w:val="1"/>
        </w:numPr>
        <w:tabs>
          <w:tab w:val="clear" w:pos="709"/>
          <w:tab w:val="left" w:pos="707" w:leader="none"/>
        </w:tabs>
        <w:bidi w:val="0"/>
        <w:spacing w:before="0" w:after="0"/>
        <w:ind w:left="707" w:right="0" w:firstLine="114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настенное зеркало</w:t>
      </w:r>
    </w:p>
    <w:p>
      <w:pPr>
        <w:pStyle w:val="Style17"/>
        <w:numPr>
          <w:ilvl w:val="0"/>
          <w:numId w:val="1"/>
        </w:numPr>
        <w:tabs>
          <w:tab w:val="clear" w:pos="709"/>
          <w:tab w:val="left" w:pos="707" w:leader="none"/>
        </w:tabs>
        <w:bidi w:val="0"/>
        <w:spacing w:before="0" w:after="0"/>
        <w:ind w:left="707" w:right="0" w:firstLine="114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два небольших рабочих стола (в соответствии с ростом ребенка)</w:t>
      </w:r>
    </w:p>
    <w:p>
      <w:pPr>
        <w:pStyle w:val="Style17"/>
        <w:numPr>
          <w:ilvl w:val="0"/>
          <w:numId w:val="1"/>
        </w:numPr>
        <w:tabs>
          <w:tab w:val="clear" w:pos="709"/>
          <w:tab w:val="left" w:pos="707" w:leader="none"/>
        </w:tabs>
        <w:bidi w:val="0"/>
        <w:spacing w:before="0" w:after="0"/>
        <w:ind w:left="707" w:right="0" w:firstLine="114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вата или ватные диски, стерильные салфетки</w:t>
      </w:r>
    </w:p>
    <w:p>
      <w:pPr>
        <w:pStyle w:val="Style17"/>
        <w:numPr>
          <w:ilvl w:val="0"/>
          <w:numId w:val="1"/>
        </w:numPr>
        <w:tabs>
          <w:tab w:val="clear" w:pos="709"/>
          <w:tab w:val="left" w:pos="707" w:leader="none"/>
        </w:tabs>
        <w:bidi w:val="0"/>
        <w:spacing w:before="0" w:after="0"/>
        <w:ind w:left="707" w:right="0" w:firstLine="114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методическая литература на автоматизацию и дифференциацию дефектных звуков</w:t>
      </w:r>
    </w:p>
    <w:p>
      <w:pPr>
        <w:pStyle w:val="Style17"/>
        <w:numPr>
          <w:ilvl w:val="0"/>
          <w:numId w:val="1"/>
        </w:numPr>
        <w:tabs>
          <w:tab w:val="clear" w:pos="709"/>
          <w:tab w:val="left" w:pos="707" w:leader="none"/>
        </w:tabs>
        <w:bidi w:val="0"/>
        <w:spacing w:before="0" w:after="0"/>
        <w:ind w:left="707" w:right="0" w:firstLine="114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картотека (для заданий на дом) на автоматизацию и дифференциацию звуков в слогах, словах, предложениях, тексте</w:t>
      </w:r>
    </w:p>
    <w:p>
      <w:pPr>
        <w:pStyle w:val="Style17"/>
        <w:numPr>
          <w:ilvl w:val="0"/>
          <w:numId w:val="1"/>
        </w:numPr>
        <w:tabs>
          <w:tab w:val="clear" w:pos="709"/>
          <w:tab w:val="left" w:pos="707" w:leader="none"/>
        </w:tabs>
        <w:bidi w:val="0"/>
        <w:ind w:left="707" w:right="0" w:firstLine="114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картинный материал.</w:t>
      </w:r>
    </w:p>
    <w:tbl>
      <w:tblPr>
        <w:tblW w:w="5000" w:type="pct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5999"/>
        <w:gridCol w:w="4207"/>
      </w:tblGrid>
      <w:tr>
        <w:trPr/>
        <w:tc>
          <w:tcPr>
            <w:tcW w:w="5999" w:type="dxa"/>
            <w:tcBorders/>
            <w:vAlign w:val="center"/>
          </w:tcPr>
          <w:p>
            <w:pPr>
              <w:pStyle w:val="Style21"/>
              <w:bidi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drawing>
                <wp:inline distT="0" distB="0" distL="0" distR="0">
                  <wp:extent cx="3351530" cy="2520315"/>
                  <wp:effectExtent l="0" t="0" r="0" b="0"/>
                  <wp:docPr id="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153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7" w:type="dxa"/>
            <w:tcBorders/>
            <w:vAlign w:val="center"/>
          </w:tcPr>
          <w:p>
            <w:pPr>
              <w:pStyle w:val="Style21"/>
              <w:bidi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drawing>
                <wp:inline distT="0" distB="0" distL="0" distR="0">
                  <wp:extent cx="1882775" cy="2520315"/>
                  <wp:effectExtent l="0" t="0" r="0" b="0"/>
                  <wp:docPr id="2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77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Style17"/>
        <w:bidi w:val="0"/>
        <w:spacing w:before="0" w:after="0"/>
        <w:ind w:left="0" w:right="0" w:firstLine="397"/>
        <w:jc w:val="both"/>
        <w:rPr>
          <w:b/>
        </w:rPr>
      </w:pPr>
      <w:r>
        <w:rPr>
          <w:rFonts w:ascii="Times New Roman" w:hAnsi="Times New Roman"/>
        </w:rPr>
      </w:r>
    </w:p>
    <w:p>
      <w:pPr>
        <w:pStyle w:val="Style17"/>
        <w:bidi w:val="0"/>
        <w:spacing w:before="0" w:after="0"/>
        <w:ind w:left="0" w:right="0" w:firstLine="397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2. Центр развития мелкой моторики</w:t>
      </w:r>
      <w:r>
        <w:rPr>
          <w:rFonts w:ascii="Times New Roman" w:hAnsi="Times New Roman"/>
        </w:rPr>
        <w:t>, в котором  находятся:</w:t>
      </w:r>
    </w:p>
    <w:p>
      <w:pPr>
        <w:pStyle w:val="Style17"/>
        <w:bidi w:val="0"/>
        <w:ind w:left="0" w:right="0" w:firstLine="397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</w:rPr>
        <w:t>Цель</w:t>
      </w:r>
      <w:r>
        <w:rPr>
          <w:rFonts w:ascii="Times New Roman" w:hAnsi="Times New Roman"/>
        </w:rPr>
        <w:t>: развитие мелкой моторики.</w:t>
      </w:r>
    </w:p>
    <w:p>
      <w:pPr>
        <w:pStyle w:val="Style17"/>
        <w:numPr>
          <w:ilvl w:val="0"/>
          <w:numId w:val="2"/>
        </w:numPr>
        <w:tabs>
          <w:tab w:val="clear" w:pos="709"/>
          <w:tab w:val="left" w:pos="707" w:leader="none"/>
        </w:tabs>
        <w:bidi w:val="0"/>
        <w:spacing w:before="0" w:after="0"/>
        <w:ind w:left="707" w:right="0" w:firstLine="114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разнообразные конструкторы</w:t>
      </w:r>
    </w:p>
    <w:p>
      <w:pPr>
        <w:pStyle w:val="Style17"/>
        <w:numPr>
          <w:ilvl w:val="0"/>
          <w:numId w:val="2"/>
        </w:numPr>
        <w:tabs>
          <w:tab w:val="clear" w:pos="709"/>
          <w:tab w:val="left" w:pos="707" w:leader="none"/>
        </w:tabs>
        <w:bidi w:val="0"/>
        <w:spacing w:before="0" w:after="0"/>
        <w:ind w:left="707" w:right="0" w:firstLine="114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шнуровки</w:t>
      </w:r>
    </w:p>
    <w:p>
      <w:pPr>
        <w:pStyle w:val="Style17"/>
        <w:numPr>
          <w:ilvl w:val="0"/>
          <w:numId w:val="2"/>
        </w:numPr>
        <w:tabs>
          <w:tab w:val="clear" w:pos="709"/>
          <w:tab w:val="left" w:pos="707" w:leader="none"/>
        </w:tabs>
        <w:bidi w:val="0"/>
        <w:spacing w:before="0" w:after="0"/>
        <w:ind w:left="707" w:right="0" w:firstLine="114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мозаики</w:t>
      </w:r>
    </w:p>
    <w:p>
      <w:pPr>
        <w:pStyle w:val="Style17"/>
        <w:numPr>
          <w:ilvl w:val="0"/>
          <w:numId w:val="2"/>
        </w:numPr>
        <w:tabs>
          <w:tab w:val="clear" w:pos="709"/>
          <w:tab w:val="left" w:pos="707" w:leader="none"/>
        </w:tabs>
        <w:bidi w:val="0"/>
        <w:spacing w:before="0" w:after="0"/>
        <w:ind w:left="707" w:right="0" w:firstLine="114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пазлы</w:t>
      </w:r>
    </w:p>
    <w:p>
      <w:pPr>
        <w:pStyle w:val="Style17"/>
        <w:numPr>
          <w:ilvl w:val="0"/>
          <w:numId w:val="2"/>
        </w:numPr>
        <w:tabs>
          <w:tab w:val="clear" w:pos="709"/>
          <w:tab w:val="left" w:pos="707" w:leader="none"/>
        </w:tabs>
        <w:bidi w:val="0"/>
        <w:spacing w:before="0" w:after="0"/>
        <w:ind w:left="707" w:right="0" w:firstLine="114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трафареты (в соответствии с лексическими темами)</w:t>
      </w:r>
    </w:p>
    <w:p>
      <w:pPr>
        <w:pStyle w:val="Style17"/>
        <w:numPr>
          <w:ilvl w:val="0"/>
          <w:numId w:val="2"/>
        </w:numPr>
        <w:tabs>
          <w:tab w:val="clear" w:pos="709"/>
          <w:tab w:val="left" w:pos="707" w:leader="none"/>
        </w:tabs>
        <w:bidi w:val="0"/>
        <w:spacing w:before="0" w:after="0"/>
        <w:ind w:left="707" w:right="0" w:firstLine="114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игры с прищепками</w:t>
      </w:r>
    </w:p>
    <w:p>
      <w:pPr>
        <w:pStyle w:val="Style17"/>
        <w:numPr>
          <w:ilvl w:val="0"/>
          <w:numId w:val="2"/>
        </w:numPr>
        <w:tabs>
          <w:tab w:val="clear" w:pos="709"/>
          <w:tab w:val="left" w:pos="707" w:leader="none"/>
        </w:tabs>
        <w:bidi w:val="0"/>
        <w:spacing w:before="0" w:after="0"/>
        <w:ind w:left="707" w:right="0" w:firstLine="114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массажные шарики, мячики</w:t>
      </w:r>
    </w:p>
    <w:p>
      <w:pPr>
        <w:pStyle w:val="Style17"/>
        <w:numPr>
          <w:ilvl w:val="0"/>
          <w:numId w:val="2"/>
        </w:numPr>
        <w:tabs>
          <w:tab w:val="clear" w:pos="709"/>
          <w:tab w:val="left" w:pos="707" w:leader="none"/>
        </w:tabs>
        <w:bidi w:val="0"/>
        <w:ind w:left="707" w:right="0" w:firstLine="114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картотека пальчиковой гимнастики, а также упражнений на координацию речи и движения.</w:t>
      </w:r>
    </w:p>
    <w:tbl>
      <w:tblPr>
        <w:tblW w:w="5000" w:type="pct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3952"/>
        <w:gridCol w:w="6254"/>
      </w:tblGrid>
      <w:tr>
        <w:trPr/>
        <w:tc>
          <w:tcPr>
            <w:tcW w:w="3952" w:type="dxa"/>
            <w:tcBorders/>
            <w:vAlign w:val="center"/>
          </w:tcPr>
          <w:p>
            <w:pPr>
              <w:pStyle w:val="Style21"/>
              <w:bidi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drawing>
                <wp:inline distT="0" distB="0" distL="0" distR="0">
                  <wp:extent cx="1889760" cy="2520315"/>
                  <wp:effectExtent l="0" t="0" r="0" b="0"/>
                  <wp:docPr id="3" name="Изображение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4" w:type="dxa"/>
            <w:tcBorders/>
            <w:vAlign w:val="center"/>
          </w:tcPr>
          <w:p>
            <w:pPr>
              <w:pStyle w:val="Style21"/>
              <w:bidi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drawing>
                <wp:inline distT="0" distB="0" distL="0" distR="0">
                  <wp:extent cx="3358515" cy="2520315"/>
                  <wp:effectExtent l="0" t="0" r="0" b="0"/>
                  <wp:docPr id="4" name="Изображение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51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Style17"/>
        <w:bidi w:val="0"/>
        <w:spacing w:before="0" w:after="0"/>
        <w:ind w:left="0" w:right="0" w:firstLine="397"/>
        <w:jc w:val="both"/>
        <w:rPr>
          <w:b/>
        </w:rPr>
      </w:pPr>
      <w:r>
        <w:rPr>
          <w:rFonts w:ascii="Times New Roman" w:hAnsi="Times New Roman"/>
        </w:rPr>
      </w:r>
    </w:p>
    <w:p>
      <w:pPr>
        <w:pStyle w:val="Style17"/>
        <w:bidi w:val="0"/>
        <w:spacing w:before="0" w:after="0"/>
        <w:ind w:left="0" w:right="0" w:firstLine="397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3. Центр  развития лексико-грамматической стороны речи:</w:t>
      </w:r>
    </w:p>
    <w:p>
      <w:pPr>
        <w:pStyle w:val="Style17"/>
        <w:bidi w:val="0"/>
        <w:ind w:left="0" w:right="0" w:firstLine="397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Цель</w:t>
      </w:r>
      <w:r>
        <w:rPr>
          <w:rFonts w:ascii="Times New Roman" w:hAnsi="Times New Roman"/>
        </w:rPr>
        <w:t>: развитие и обогащение словаря; знакомства детей с антонимами; закрепления грамматических категорий и развития связной речи</w:t>
      </w:r>
    </w:p>
    <w:p>
      <w:pPr>
        <w:pStyle w:val="Style17"/>
        <w:numPr>
          <w:ilvl w:val="0"/>
          <w:numId w:val="3"/>
        </w:numPr>
        <w:tabs>
          <w:tab w:val="clear" w:pos="709"/>
          <w:tab w:val="left" w:pos="707" w:leader="none"/>
        </w:tabs>
        <w:bidi w:val="0"/>
        <w:spacing w:before="0" w:after="0"/>
        <w:ind w:left="707" w:right="0" w:firstLine="11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Дидактический материал для развития лексико-грамматических категорий по лексическим темам.</w:t>
      </w:r>
    </w:p>
    <w:p>
      <w:pPr>
        <w:pStyle w:val="Style17"/>
        <w:numPr>
          <w:ilvl w:val="0"/>
          <w:numId w:val="3"/>
        </w:numPr>
        <w:tabs>
          <w:tab w:val="clear" w:pos="709"/>
          <w:tab w:val="left" w:pos="707" w:leader="none"/>
        </w:tabs>
        <w:bidi w:val="0"/>
        <w:spacing w:before="0" w:after="0"/>
        <w:ind w:left="707" w:right="0" w:firstLine="11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Картотека игровых упражнений по лексическим темам.</w:t>
      </w:r>
    </w:p>
    <w:p>
      <w:pPr>
        <w:pStyle w:val="Style17"/>
        <w:numPr>
          <w:ilvl w:val="0"/>
          <w:numId w:val="3"/>
        </w:numPr>
        <w:tabs>
          <w:tab w:val="clear" w:pos="709"/>
          <w:tab w:val="left" w:pos="707" w:leader="none"/>
        </w:tabs>
        <w:bidi w:val="0"/>
        <w:spacing w:before="0" w:after="0"/>
        <w:ind w:left="707" w:right="0" w:firstLine="11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Систематизированный иллюстративный материал, подобранный с учётом лексических тем.</w:t>
      </w:r>
    </w:p>
    <w:p>
      <w:pPr>
        <w:pStyle w:val="Style17"/>
        <w:numPr>
          <w:ilvl w:val="0"/>
          <w:numId w:val="3"/>
        </w:numPr>
        <w:tabs>
          <w:tab w:val="clear" w:pos="709"/>
          <w:tab w:val="left" w:pos="707" w:leader="none"/>
        </w:tabs>
        <w:bidi w:val="0"/>
        <w:spacing w:before="0" w:after="0"/>
        <w:ind w:left="707" w:right="0" w:firstLine="11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картотека загадок (народные загадки, загадки в форме описания предметов, загадки с пропущенным словом или «Доскажи словечко»)</w:t>
      </w:r>
    </w:p>
    <w:p>
      <w:pPr>
        <w:pStyle w:val="Style17"/>
        <w:numPr>
          <w:ilvl w:val="0"/>
          <w:numId w:val="3"/>
        </w:numPr>
        <w:tabs>
          <w:tab w:val="clear" w:pos="709"/>
          <w:tab w:val="left" w:pos="707" w:leader="none"/>
        </w:tabs>
        <w:bidi w:val="0"/>
        <w:spacing w:before="0" w:after="0"/>
        <w:ind w:left="707" w:right="0" w:firstLine="11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подбор предметных, сюжетных и серий сюжетных картин для составления рассказов разной сложности</w:t>
      </w:r>
    </w:p>
    <w:p>
      <w:pPr>
        <w:pStyle w:val="Style17"/>
        <w:numPr>
          <w:ilvl w:val="0"/>
          <w:numId w:val="3"/>
        </w:numPr>
        <w:tabs>
          <w:tab w:val="clear" w:pos="709"/>
          <w:tab w:val="left" w:pos="707" w:leader="none"/>
        </w:tabs>
        <w:bidi w:val="0"/>
        <w:spacing w:before="0" w:after="0"/>
        <w:ind w:left="707" w:right="0" w:firstLine="11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картинный материал по всем лексическим темам</w:t>
      </w:r>
    </w:p>
    <w:p>
      <w:pPr>
        <w:pStyle w:val="Style17"/>
        <w:numPr>
          <w:ilvl w:val="0"/>
          <w:numId w:val="3"/>
        </w:numPr>
        <w:tabs>
          <w:tab w:val="clear" w:pos="709"/>
          <w:tab w:val="left" w:pos="707" w:leader="none"/>
        </w:tabs>
        <w:bidi w:val="0"/>
        <w:spacing w:before="0" w:after="0"/>
        <w:ind w:left="707" w:right="0" w:firstLine="11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словесные игры</w:t>
      </w:r>
    </w:p>
    <w:p>
      <w:pPr>
        <w:pStyle w:val="Style17"/>
        <w:numPr>
          <w:ilvl w:val="0"/>
          <w:numId w:val="3"/>
        </w:numPr>
        <w:tabs>
          <w:tab w:val="clear" w:pos="709"/>
          <w:tab w:val="left" w:pos="707" w:leader="none"/>
        </w:tabs>
        <w:bidi w:val="0"/>
        <w:spacing w:before="0" w:after="0"/>
        <w:ind w:left="707" w:right="0" w:firstLine="11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Наборы картинного материала: антонимы, синонимы и омонимы.</w:t>
      </w:r>
    </w:p>
    <w:p>
      <w:pPr>
        <w:pStyle w:val="Style17"/>
        <w:numPr>
          <w:ilvl w:val="0"/>
          <w:numId w:val="3"/>
        </w:numPr>
        <w:tabs>
          <w:tab w:val="clear" w:pos="709"/>
          <w:tab w:val="left" w:pos="707" w:leader="none"/>
        </w:tabs>
        <w:bidi w:val="0"/>
        <w:ind w:left="707" w:right="0" w:firstLine="11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Подборка игровых заданий на закрепление грамматических категорий родного языка (предлоги, падежные формы, множественное число существительных, существительные с уменьшительно – ласкательными суффиксами и т. д.)</w:t>
      </w:r>
    </w:p>
    <w:tbl>
      <w:tblPr>
        <w:tblW w:w="5000" w:type="pct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618"/>
        <w:gridCol w:w="3000"/>
        <w:gridCol w:w="2588"/>
      </w:tblGrid>
      <w:tr>
        <w:trPr/>
        <w:tc>
          <w:tcPr>
            <w:tcW w:w="4618" w:type="dxa"/>
            <w:tcBorders/>
            <w:vAlign w:val="center"/>
          </w:tcPr>
          <w:p>
            <w:pPr>
              <w:pStyle w:val="Style21"/>
              <w:bidi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drawing>
                <wp:inline distT="0" distB="0" distL="0" distR="0">
                  <wp:extent cx="2386965" cy="1800225"/>
                  <wp:effectExtent l="0" t="0" r="0" b="0"/>
                  <wp:docPr id="5" name="Изображение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tcBorders/>
            <w:vAlign w:val="center"/>
          </w:tcPr>
          <w:p>
            <w:pPr>
              <w:pStyle w:val="Style21"/>
              <w:bidi w:val="0"/>
              <w:jc w:val="center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drawing>
                <wp:inline distT="0" distB="0" distL="0" distR="0">
                  <wp:extent cx="1335405" cy="1800225"/>
                  <wp:effectExtent l="0" t="0" r="0" b="0"/>
                  <wp:docPr id="6" name="Изображение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  <w:tcBorders/>
            <w:vAlign w:val="center"/>
          </w:tcPr>
          <w:p>
            <w:pPr>
              <w:pStyle w:val="Style21"/>
              <w:bidi w:val="0"/>
              <w:jc w:val="center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drawing>
                <wp:inline distT="0" distB="0" distL="0" distR="0">
                  <wp:extent cx="1339215" cy="1800225"/>
                  <wp:effectExtent l="0" t="0" r="0" b="0"/>
                  <wp:docPr id="7" name="Изображение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2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Style17"/>
        <w:bidi w:val="0"/>
        <w:ind w:left="0" w:right="0" w:firstLine="39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Style17"/>
        <w:bidi w:val="0"/>
        <w:spacing w:before="0" w:after="0"/>
        <w:ind w:left="0" w:right="0" w:firstLine="397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4. Рабочий центр  учителя - логопеда. </w:t>
      </w:r>
    </w:p>
    <w:p>
      <w:pPr>
        <w:pStyle w:val="Style17"/>
        <w:bidi w:val="0"/>
        <w:ind w:left="0" w:right="0" w:firstLine="397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Цель</w:t>
      </w:r>
      <w:r>
        <w:rPr>
          <w:rFonts w:ascii="Times New Roman" w:hAnsi="Times New Roman"/>
        </w:rPr>
        <w:t>: организация работы с документацией, изготовление методических пособий.</w:t>
      </w:r>
    </w:p>
    <w:p>
      <w:pPr>
        <w:pStyle w:val="Style17"/>
        <w:numPr>
          <w:ilvl w:val="0"/>
          <w:numId w:val="4"/>
        </w:numPr>
        <w:tabs>
          <w:tab w:val="clear" w:pos="709"/>
          <w:tab w:val="left" w:pos="707" w:leader="none"/>
        </w:tabs>
        <w:bidi w:val="0"/>
        <w:spacing w:before="0" w:after="0"/>
        <w:ind w:left="707" w:right="0" w:firstLine="114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Стол.</w:t>
      </w:r>
    </w:p>
    <w:p>
      <w:pPr>
        <w:pStyle w:val="Style17"/>
        <w:numPr>
          <w:ilvl w:val="0"/>
          <w:numId w:val="4"/>
        </w:numPr>
        <w:tabs>
          <w:tab w:val="clear" w:pos="709"/>
          <w:tab w:val="left" w:pos="707" w:leader="none"/>
        </w:tabs>
        <w:bidi w:val="0"/>
        <w:spacing w:before="0" w:after="0"/>
        <w:ind w:left="707" w:right="0" w:firstLine="114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Стул.</w:t>
      </w:r>
    </w:p>
    <w:p>
      <w:pPr>
        <w:pStyle w:val="Style17"/>
        <w:numPr>
          <w:ilvl w:val="0"/>
          <w:numId w:val="4"/>
        </w:numPr>
        <w:tabs>
          <w:tab w:val="clear" w:pos="709"/>
          <w:tab w:val="left" w:pos="707" w:leader="none"/>
        </w:tabs>
        <w:bidi w:val="0"/>
        <w:spacing w:before="0" w:after="0"/>
        <w:ind w:left="707" w:right="0" w:firstLine="114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Логопедическая документация.</w:t>
      </w:r>
    </w:p>
    <w:p>
      <w:pPr>
        <w:pStyle w:val="Style17"/>
        <w:numPr>
          <w:ilvl w:val="0"/>
          <w:numId w:val="4"/>
        </w:numPr>
        <w:tabs>
          <w:tab w:val="clear" w:pos="709"/>
          <w:tab w:val="left" w:pos="707" w:leader="none"/>
        </w:tabs>
        <w:bidi w:val="0"/>
        <w:ind w:left="707" w:right="0" w:firstLine="114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Портфолио достижений специалиста (или творческая папка педагога). </w:t>
      </w:r>
    </w:p>
    <w:tbl>
      <w:tblPr>
        <w:tblW w:w="10206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5102"/>
        <w:gridCol w:w="5104"/>
      </w:tblGrid>
      <w:tr>
        <w:trPr/>
        <w:tc>
          <w:tcPr>
            <w:tcW w:w="5102" w:type="dxa"/>
            <w:tcBorders/>
            <w:vAlign w:val="center"/>
          </w:tcPr>
          <w:p>
            <w:pPr>
              <w:pStyle w:val="Style21"/>
              <w:bidi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drawing>
                <wp:inline distT="0" distB="0" distL="0" distR="0">
                  <wp:extent cx="2872740" cy="2160270"/>
                  <wp:effectExtent l="0" t="0" r="0" b="0"/>
                  <wp:docPr id="8" name="Изображение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74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tcBorders/>
            <w:vAlign w:val="center"/>
          </w:tcPr>
          <w:p>
            <w:pPr>
              <w:pStyle w:val="Style21"/>
              <w:bidi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drawing>
                <wp:inline distT="0" distB="0" distL="0" distR="0">
                  <wp:extent cx="2872740" cy="2160270"/>
                  <wp:effectExtent l="0" t="0" r="0" b="0"/>
                  <wp:docPr id="9" name="Изображение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74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Style17"/>
        <w:bidi w:val="0"/>
        <w:spacing w:before="0" w:after="0"/>
        <w:ind w:left="0" w:right="0" w:firstLine="397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Style17"/>
        <w:bidi w:val="0"/>
        <w:spacing w:before="0" w:after="0"/>
        <w:ind w:left="0" w:right="0" w:firstLine="397"/>
        <w:jc w:val="right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Учитель-логопед Синькова Нина Владимировна</w:t>
      </w:r>
    </w:p>
    <w:p>
      <w:pPr>
        <w:pStyle w:val="Normal"/>
        <w:bidi w:val="0"/>
        <w:ind w:left="0" w:right="0" w:firstLine="397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sectPr>
      <w:type w:val="nextPage"/>
      <w:pgSz w:w="11906" w:h="16838"/>
      <w:pgMar w:left="850" w:right="850" w:header="0" w:top="850" w:footer="0" w:bottom="850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kern w:val="2"/>
        <w:sz w:val="24"/>
        <w:szCs w:val="24"/>
        <w:lang w:val="en-US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SimSun" w:cs="Mangal"/>
      <w:color w:val="auto"/>
      <w:kern w:val="2"/>
      <w:sz w:val="24"/>
      <w:szCs w:val="24"/>
      <w:lang w:val="en-US" w:eastAsia="zh-CN" w:bidi="hi-IN"/>
    </w:rPr>
  </w:style>
  <w:style w:type="character" w:styleId="Style14">
    <w:name w:val="Маркеры"/>
    <w:qFormat/>
    <w:rPr>
      <w:rFonts w:ascii="OpenSymbol" w:hAnsi="OpenSymbol" w:eastAsia="OpenSymbol" w:cs="OpenSymbol"/>
    </w:rPr>
  </w:style>
  <w:style w:type="character" w:styleId="Style15">
    <w:name w:val="Интернет-ссылка"/>
    <w:rPr>
      <w:color w:val="000080"/>
      <w:u w:val="single"/>
      <w:lang w:val="zxx" w:eastAsia="zxx" w:bidi="zxx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>
      <w:rFonts w:cs="Mang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Mangal"/>
    </w:rPr>
  </w:style>
  <w:style w:type="paragraph" w:styleId="Style21">
    <w:name w:val="Содержимое таблицы"/>
    <w:basedOn w:val="Normal"/>
    <w:qFormat/>
    <w:pPr>
      <w:widowControl w:val="false"/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13</TotalTime>
  <Application>LibreOffice/7.0.6.2$Windows_x86 LibreOffice_project/144abb84a525d8e30c9dbbefa69cbbf2d8d4ae3b</Application>
  <AppVersion>15.0000</AppVersion>
  <Pages>3</Pages>
  <Words>438</Words>
  <Characters>3097</Characters>
  <CharactersWithSpaces>3472</CharactersWithSpaces>
  <Paragraphs>54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2017-10-20T23:40:51Z</dcterms:created>
  <dc:creator/>
  <dc:description/>
  <dc:language>ru-RU</dc:language>
  <cp:lastModifiedBy/>
  <dcterms:modified xsi:type="dcterms:W3CDTF">2023-03-24T11:15:47Z</dcterms:modified>
  <cp:revision>13</cp:revision>
  <dc:subject/>
  <dc:title/>
</cp:coreProperties>
</file>